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2424"/>
        <w:tblW w:w="10860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06"/>
        <w:gridCol w:w="1089"/>
        <w:gridCol w:w="1260"/>
        <w:gridCol w:w="1005"/>
        <w:gridCol w:w="1260"/>
        <w:gridCol w:w="1365"/>
        <w:gridCol w:w="1920"/>
        <w:gridCol w:w="1155"/>
        <w:tblGridChange w:id="0">
          <w:tblGrid>
            <w:gridCol w:w="1806"/>
            <w:gridCol w:w="1089"/>
            <w:gridCol w:w="1260"/>
            <w:gridCol w:w="1005"/>
            <w:gridCol w:w="1260"/>
            <w:gridCol w:w="1365"/>
            <w:gridCol w:w="1920"/>
            <w:gridCol w:w="1155"/>
          </w:tblGrid>
        </w:tblGridChange>
      </w:tblGrid>
      <w:tr>
        <w:trPr>
          <w:cantSplit w:val="0"/>
          <w:trHeight w:val="626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Compound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Formula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D. eres</w:t>
            </w:r>
          </w:p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(# of strains)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D. sp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. - En01.1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D.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aff.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gulyae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En20.4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C. fioriniae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En25.3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G.  paraclavulata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En61.1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N. niveniae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En61.2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proline betaine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(4)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tryptamine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(3)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hypoxyanthine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(4)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phenylethylamine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(2)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choline sulfate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(2)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phosphocholine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(4)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(4)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(3)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(3)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(3)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(3)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Nectriapyrone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(4)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(3)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(2)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(2)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(2)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Desmethylnectriapyrone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 (1)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8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16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9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carnitine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5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8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6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Ile/Phe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Ile/Ile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Ser/Val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Ile/Pro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Leu/Val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Leu/Thr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4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4.0" w:type="dxa"/>
              <w:left w:w="-44.0" w:type="dxa"/>
              <w:bottom w:w="-44.0" w:type="dxa"/>
              <w:right w:w="-44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</w:tc>
      </w:tr>
      <w:tr>
        <w:trPr>
          <w:cantSplit w:val="0"/>
          <w:tblHeader w:val="0"/>
        </w:trPr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3</w:t>
            </w:r>
          </w:p>
        </w:tc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Mar>
              <w:top w:w="-476.0" w:type="dxa"/>
              <w:left w:w="-476.0" w:type="dxa"/>
              <w:bottom w:w="-476.0" w:type="dxa"/>
              <w:right w:w="-476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1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Table 2: Extrolite screening of bioactive compounds produced fungal endophytes strains</w:t>
      </w:r>
    </w:p>
    <w:sectPr>
      <w:headerReference r:id="rId7" w:type="default"/>
      <w:headerReference r:id="rId8" w:type="first"/>
      <w:headerReference r:id="rId9" w:type="even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C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F65E1"/>
    <w:pPr>
      <w:spacing w:after="0" w:line="240" w:lineRule="auto"/>
    </w:pPr>
    <w:rPr>
      <w:rFonts w:ascii="Calibri" w:cs="Calibri" w:eastAsia="Calibri" w:hAnsi="Calibri"/>
      <w:lang w:eastAsia="en-CA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CD144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D144A"/>
    <w:rPr>
      <w:rFonts w:ascii="Calibri" w:cs="Calibri" w:eastAsia="Calibri" w:hAnsi="Calibri"/>
      <w:lang w:eastAsia="en-C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CeodnXgs1nMQyA8vUWWpC1PU+g==">CgMxLjA4AHIhMVJlOGdOcS0tVWpDY0tBcjhkaVVSOGZGMDFpQVE1bFFI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2023-05-18T17:53:00Z</dcterms:created>
  <dc:creator>Ali, Shawkat (AAFC/AAC)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d8967-3ba6-4b00-a759-20a8ca19a393_Enabled">
    <vt:lpwstr>true</vt:lpwstr>
  </property>
  <property fmtid="{D5CDD505-2E9C-101B-9397-08002B2CF9AE}" pid="3" name="MSIP_Label_baad8967-3ba6-4b00-a759-20a8ca19a393_SetDate">
    <vt:lpwstr>2023-08-28T17:54:55Z</vt:lpwstr>
  </property>
  <property fmtid="{D5CDD505-2E9C-101B-9397-08002B2CF9AE}" pid="4" name="MSIP_Label_baad8967-3ba6-4b00-a759-20a8ca19a393_Method">
    <vt:lpwstr>Privileged</vt:lpwstr>
  </property>
  <property fmtid="{D5CDD505-2E9C-101B-9397-08002B2CF9AE}" pid="5" name="MSIP_Label_baad8967-3ba6-4b00-a759-20a8ca19a393_Name">
    <vt:lpwstr>UNCLASSIFIED</vt:lpwstr>
  </property>
  <property fmtid="{D5CDD505-2E9C-101B-9397-08002B2CF9AE}" pid="6" name="MSIP_Label_baad8967-3ba6-4b00-a759-20a8ca19a393_SiteId">
    <vt:lpwstr>9da98bb1-1857-4cc3-8751-9a49e35d24cd</vt:lpwstr>
  </property>
  <property fmtid="{D5CDD505-2E9C-101B-9397-08002B2CF9AE}" pid="7" name="MSIP_Label_baad8967-3ba6-4b00-a759-20a8ca19a393_ActionId">
    <vt:lpwstr>9f0770d4-159c-4ed6-a01b-7c3127220e3a</vt:lpwstr>
  </property>
  <property fmtid="{D5CDD505-2E9C-101B-9397-08002B2CF9AE}" pid="8" name="MSIP_Label_baad8967-3ba6-4b00-a759-20a8ca19a393_ContentBits">
    <vt:lpwstr>1</vt:lpwstr>
  </property>
</Properties>
</file>